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D1C" w:rsidRPr="00F17D1C" w:rsidRDefault="00F17D1C" w:rsidP="00F17D1C">
      <w:pPr>
        <w:spacing w:before="60" w:after="120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F17D1C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Перспективный план работы учителя-наставник</w:t>
      </w:r>
      <w:r w:rsidR="00A058DC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а с молодым специалистом на 2022-2023 </w:t>
      </w:r>
      <w:r w:rsidRPr="00F17D1C"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учебный го</w:t>
      </w:r>
      <w:r>
        <w:rPr>
          <w:rFonts w:ascii="Open Sans" w:eastAsia="Times New Roman" w:hAnsi="Open Sans" w:cs="Times New Roman"/>
          <w:b/>
          <w:bCs/>
          <w:color w:val="000000"/>
          <w:kern w:val="36"/>
          <w:sz w:val="38"/>
          <w:szCs w:val="38"/>
          <w:lang w:eastAsia="ru-RU"/>
        </w:rPr>
        <w:t>д.</w:t>
      </w:r>
    </w:p>
    <w:p w:rsidR="00F17D1C" w:rsidRPr="00F17D1C" w:rsidRDefault="00F17D1C" w:rsidP="00F17D1C">
      <w:pPr>
        <w:shd w:val="clear" w:color="auto" w:fill="FFFFFF"/>
        <w:spacing w:before="100" w:beforeAutospacing="1" w:after="24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CellSpacing w:w="15" w:type="dxa"/>
        <w:tblInd w:w="-11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686"/>
        <w:gridCol w:w="3032"/>
        <w:gridCol w:w="1651"/>
      </w:tblGrid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 проведения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Дата, отметка о выполнении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Изучение нормативно-правовой базы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Изучение</w:t>
            </w: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 xml:space="preserve">нормативно-правового </w:t>
            </w:r>
            <w:r w:rsidR="00A058DC">
              <w:rPr>
                <w:rFonts w:eastAsia="Times New Roman" w:cs="Times New Roman"/>
                <w:szCs w:val="24"/>
                <w:lang w:eastAsia="ru-RU"/>
              </w:rPr>
              <w:t>обеспечения 2022-2023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 xml:space="preserve"> учебного года (государственных образовательных стандартов, примерных основных образовательных программ, нормативно-правовых актов).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Изучение методических рекомендаций по УМК </w:t>
            </w:r>
            <w:r w:rsidR="00561F99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3. Консультация учителя-наставника по составлению календарно-</w:t>
            </w:r>
            <w:r w:rsidR="00561F99">
              <w:rPr>
                <w:rFonts w:eastAsia="Times New Roman" w:cs="Times New Roman"/>
                <w:szCs w:val="24"/>
                <w:lang w:eastAsia="ru-RU"/>
              </w:rPr>
              <w:t xml:space="preserve">тематического планирования для 5-11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классов.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Знать требования и содержание</w:t>
            </w: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государственных образовательных стандартов, примерных основных образовательных программ, нормативно-правовых актов, методических рекомендаций по предмету.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составить календарно-тематичес</w:t>
            </w:r>
            <w:r w:rsidR="00AB31D8">
              <w:rPr>
                <w:rFonts w:eastAsia="Times New Roman" w:cs="Times New Roman"/>
                <w:szCs w:val="24"/>
                <w:lang w:eastAsia="ru-RU"/>
              </w:rPr>
              <w:t xml:space="preserve">кое планирование по предмету в 5-11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классах.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Методическое планирование урока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Взаимопосещение уроков.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Консультация по составлению плана урока (краткого и развёрнутого конспекта урока), технологической карты урока.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ставить цели и задачи урока, планировать УУД и ожидаемые результаты, планировать этапы урока,</w:t>
            </w: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осуществлять подбор учебного материала</w:t>
            </w:r>
            <w:r w:rsidRPr="00F17D1C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3. Виды самоанализа урока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Самоанализ урока учителя-наставника.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Самоанализ урока молодого специалиста.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3. Взаимопосещение уроков.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анализировать урок, планировать пути повышения его качества и эффективности.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4. Само- и взаимоконтроль на уроке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Посещение уроков коллег. Педагогическое сопровождение.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 xml:space="preserve">2. Консультация по подготовке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lastRenderedPageBreak/>
              <w:t>учащихся к проведению четвертных контрольных работ, ВПР.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3. Консультация по выставлению отметок за четверть.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Уметь объективно оценивать знания учащихся в соответствии с критериями и нормами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lastRenderedPageBreak/>
              <w:t>оценивания.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Весь год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5. Самоанализ профподготовки учителя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Анкетирование молодого специалиста по выявлению трудностей в работе.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Итоги анкетирования. Психологическое сопровождение.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оценить свою профессиональную подготовку.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Ноябрь-май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6. Этапы подготовки современного урока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по подготовке современного урока.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Взаимопосещение уроков.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реализовать поставленные цели урока и подготовить краткий и развёрнутый план-конспект, технологическую карту урока.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Сентябрь-октябрь</w:t>
            </w:r>
          </w:p>
        </w:tc>
      </w:tr>
      <w:tr w:rsidR="00F17D1C" w:rsidRPr="00F17D1C" w:rsidTr="00137481">
        <w:trPr>
          <w:trHeight w:val="3541"/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7. Организация внеклассной/внеурочной работы по предмету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педагога-организатора.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Посещение внеклассных/внеурочных праздничных и досуговых мероприятий.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Использовать внеклассные/внеурочные формы работы для повышения у учащихся мотивации к изучению предмета.Способствовать развитию творческих способностей учащихся.Способствовать формированию познавательного интереса учащихся.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Весь год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 xml:space="preserve">8. Развитие коммуникативных умений учащихся на уроках </w:t>
            </w:r>
            <w:r w:rsidR="001F2FFF">
              <w:rPr>
                <w:rFonts w:eastAsia="Times New Roman" w:cs="Times New Roman"/>
                <w:szCs w:val="24"/>
                <w:lang w:eastAsia="ru-RU"/>
              </w:rPr>
              <w:t>математики.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районного –методист</w:t>
            </w:r>
            <w:r w:rsidR="00033A04">
              <w:rPr>
                <w:rFonts w:eastAsia="Times New Roman" w:cs="Times New Roman"/>
                <w:szCs w:val="24"/>
                <w:lang w:eastAsia="ru-RU"/>
              </w:rPr>
              <w:t>а.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2. Посещение занятий «Школы молодого учителя».3. Посещение уроков и анализ деятельности учителя по развитию коммуникативных умений</w:t>
            </w:r>
            <w:r w:rsidR="0013748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t>учащихся.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создать педагогические условия для выявления и развития коммуникативных умений учащихся.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Январь-май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9. Организация дифференцированного подхода в обучении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заместителя директора по УВР, курирующего предмет.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 xml:space="preserve">2. Взаимопосещение уроков и анализ организации дифференцированного подхода в </w:t>
            </w:r>
            <w:r w:rsidRPr="00F17D1C">
              <w:rPr>
                <w:rFonts w:eastAsia="Times New Roman" w:cs="Times New Roman"/>
                <w:szCs w:val="24"/>
                <w:lang w:eastAsia="ru-RU"/>
              </w:rPr>
              <w:lastRenderedPageBreak/>
              <w:t>обучении.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lastRenderedPageBreak/>
              <w:t>Уметь осуществлять подбор учебного материала с учётом уровня обученности учащихся.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Весь год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10. Рефлексия педагогической деятельности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Анкетирование «Профессиональная готовность и пригодность учителя к педагогической деятельности».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Самооценка профподготовки учителя –молодого специалиста.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анализировать собственную педагогическую деятельность.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color w:val="000000"/>
                <w:szCs w:val="24"/>
                <w:lang w:eastAsia="ru-RU"/>
              </w:rPr>
              <w:t>диагностировать качества, способствующие профессиональному личностному самоопределению и самореализации.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Апрель-май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11. Перспективное планирование на следующий учебный год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по выявлению сильных и слабых сторон в педагогической деятельности молодого специалиста.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Анализ работы за текущий учебный год.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Уметь планировать работу по самообразованию на будущий учебный год.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</w:tr>
      <w:tr w:rsidR="00F17D1C" w:rsidRPr="00F17D1C" w:rsidTr="00033A04">
        <w:trPr>
          <w:tblCellSpacing w:w="15" w:type="dxa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12. Публикация методических разработок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1. Консультация заместител</w:t>
            </w:r>
            <w:r w:rsidR="009F6122">
              <w:rPr>
                <w:rFonts w:eastAsia="Times New Roman" w:cs="Times New Roman"/>
                <w:szCs w:val="24"/>
                <w:lang w:eastAsia="ru-RU"/>
              </w:rPr>
              <w:t>я директора по УВР.</w:t>
            </w:r>
          </w:p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2. Анализ работы педагогических сайтов и педагогических сообществ по предоставлению возможности публикаций методических разработок и планов уроков.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F17D1C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 w:rsidRPr="00F17D1C">
              <w:rPr>
                <w:rFonts w:eastAsia="Times New Roman" w:cs="Times New Roman"/>
                <w:szCs w:val="24"/>
                <w:lang w:eastAsia="ru-RU"/>
              </w:rPr>
              <w:t>Принять активное участие в печатной деятельности.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1C" w:rsidRPr="00F17D1C" w:rsidRDefault="0039480D" w:rsidP="00F17D1C">
            <w:pPr>
              <w:spacing w:before="100" w:beforeAutospacing="1" w:after="100" w:afterAutospacing="1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Весь год</w:t>
            </w:r>
          </w:p>
        </w:tc>
      </w:tr>
    </w:tbl>
    <w:p w:rsidR="006539B0" w:rsidRDefault="006539B0"/>
    <w:p w:rsidR="0059596F" w:rsidRDefault="0059596F"/>
    <w:p w:rsidR="0059596F" w:rsidRDefault="0059596F"/>
    <w:p w:rsidR="0059596F" w:rsidRDefault="0059596F"/>
    <w:p w:rsidR="0059596F" w:rsidRDefault="0059596F"/>
    <w:tbl>
      <w:tblPr>
        <w:tblStyle w:val="a7"/>
        <w:tblW w:w="0" w:type="auto"/>
        <w:tblInd w:w="-885" w:type="dxa"/>
        <w:tblLook w:val="04A0" w:firstRow="1" w:lastRow="0" w:firstColumn="1" w:lastColumn="0" w:noHBand="0" w:noVBand="1"/>
      </w:tblPr>
      <w:tblGrid>
        <w:gridCol w:w="445"/>
        <w:gridCol w:w="2395"/>
        <w:gridCol w:w="356"/>
        <w:gridCol w:w="1337"/>
        <w:gridCol w:w="1436"/>
        <w:gridCol w:w="1634"/>
        <w:gridCol w:w="786"/>
        <w:gridCol w:w="515"/>
        <w:gridCol w:w="1552"/>
      </w:tblGrid>
      <w:tr w:rsidR="0059596F" w:rsidTr="0059596F">
        <w:trPr>
          <w:trHeight w:val="315"/>
        </w:trPr>
        <w:tc>
          <w:tcPr>
            <w:tcW w:w="445" w:type="dxa"/>
          </w:tcPr>
          <w:p w:rsidR="0059596F" w:rsidRDefault="0059596F">
            <w:r>
              <w:t>№</w:t>
            </w:r>
          </w:p>
        </w:tc>
        <w:tc>
          <w:tcPr>
            <w:tcW w:w="1854" w:type="dxa"/>
            <w:gridSpan w:val="2"/>
            <w:tcBorders>
              <w:right w:val="nil"/>
            </w:tcBorders>
          </w:tcPr>
          <w:p w:rsidR="0059596F" w:rsidRPr="0059596F" w:rsidRDefault="0059596F" w:rsidP="0059596F">
            <w:pPr>
              <w:rPr>
                <w:sz w:val="28"/>
                <w:szCs w:val="28"/>
              </w:rPr>
            </w:pPr>
            <w:r w:rsidRPr="0059596F">
              <w:rPr>
                <w:sz w:val="28"/>
                <w:szCs w:val="28"/>
              </w:rPr>
              <w:t>Молодойспециалист</w:t>
            </w:r>
          </w:p>
        </w:tc>
        <w:tc>
          <w:tcPr>
            <w:tcW w:w="3372" w:type="dxa"/>
            <w:gridSpan w:val="2"/>
            <w:tcBorders>
              <w:left w:val="nil"/>
            </w:tcBorders>
          </w:tcPr>
          <w:p w:rsidR="0059596F" w:rsidRDefault="0059596F"/>
        </w:tc>
        <w:tc>
          <w:tcPr>
            <w:tcW w:w="2545" w:type="dxa"/>
            <w:gridSpan w:val="2"/>
            <w:tcBorders>
              <w:right w:val="nil"/>
            </w:tcBorders>
          </w:tcPr>
          <w:p w:rsidR="0059596F" w:rsidRPr="0059596F" w:rsidRDefault="0059596F">
            <w:pPr>
              <w:rPr>
                <w:sz w:val="28"/>
                <w:szCs w:val="28"/>
              </w:rPr>
            </w:pPr>
            <w:r w:rsidRPr="0059596F">
              <w:rPr>
                <w:sz w:val="28"/>
                <w:szCs w:val="28"/>
              </w:rPr>
              <w:t>наставник</w:t>
            </w:r>
          </w:p>
        </w:tc>
        <w:tc>
          <w:tcPr>
            <w:tcW w:w="715" w:type="dxa"/>
            <w:tcBorders>
              <w:left w:val="nil"/>
              <w:right w:val="nil"/>
            </w:tcBorders>
          </w:tcPr>
          <w:p w:rsidR="0059596F" w:rsidRDefault="0059596F"/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596F" w:rsidRDefault="0059596F"/>
        </w:tc>
      </w:tr>
      <w:tr w:rsidR="008666D9" w:rsidTr="008666D9">
        <w:trPr>
          <w:trHeight w:val="669"/>
        </w:trPr>
        <w:tc>
          <w:tcPr>
            <w:tcW w:w="445" w:type="dxa"/>
            <w:tcBorders>
              <w:bottom w:val="single" w:sz="4" w:space="0" w:color="auto"/>
            </w:tcBorders>
          </w:tcPr>
          <w:p w:rsidR="0059596F" w:rsidRDefault="0059596F" w:rsidP="0059596F"/>
        </w:tc>
        <w:tc>
          <w:tcPr>
            <w:tcW w:w="1498" w:type="dxa"/>
            <w:tcBorders>
              <w:bottom w:val="single" w:sz="4" w:space="0" w:color="auto"/>
            </w:tcBorders>
          </w:tcPr>
          <w:p w:rsidR="0059596F" w:rsidRDefault="0059596F" w:rsidP="0059596F">
            <w:r>
              <w:t>Ф.И.О.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</w:tcPr>
          <w:p w:rsidR="0059596F" w:rsidRDefault="0059596F">
            <w:r>
              <w:t>образование</w:t>
            </w: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59596F" w:rsidRDefault="008666D9">
            <w:r>
              <w:t>класс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59596F" w:rsidRDefault="008666D9" w:rsidP="0059596F">
            <w:r>
              <w:t>Ф,И.О.</w:t>
            </w:r>
          </w:p>
        </w:tc>
        <w:tc>
          <w:tcPr>
            <w:tcW w:w="844" w:type="dxa"/>
            <w:tcBorders>
              <w:bottom w:val="single" w:sz="4" w:space="0" w:color="auto"/>
              <w:right w:val="nil"/>
            </w:tcBorders>
          </w:tcPr>
          <w:p w:rsidR="0059596F" w:rsidRDefault="008666D9" w:rsidP="0059596F">
            <w:r>
              <w:t>стаж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9596F" w:rsidRDefault="0059596F"/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59596F" w:rsidRDefault="008666D9">
            <w:r>
              <w:t>категория</w:t>
            </w:r>
          </w:p>
        </w:tc>
      </w:tr>
      <w:tr w:rsidR="008666D9" w:rsidTr="0059596F">
        <w:tc>
          <w:tcPr>
            <w:tcW w:w="445" w:type="dxa"/>
          </w:tcPr>
          <w:p w:rsidR="0059596F" w:rsidRDefault="0059596F">
            <w:r>
              <w:t>1</w:t>
            </w:r>
          </w:p>
        </w:tc>
        <w:tc>
          <w:tcPr>
            <w:tcW w:w="1498" w:type="dxa"/>
          </w:tcPr>
          <w:p w:rsidR="0059596F" w:rsidRDefault="008666D9">
            <w:r>
              <w:t>Абаскулиева М.А.</w:t>
            </w:r>
          </w:p>
        </w:tc>
        <w:tc>
          <w:tcPr>
            <w:tcW w:w="1839" w:type="dxa"/>
            <w:gridSpan w:val="2"/>
          </w:tcPr>
          <w:p w:rsidR="0059596F" w:rsidRDefault="008666D9">
            <w:r>
              <w:t>высшее</w:t>
            </w:r>
          </w:p>
        </w:tc>
        <w:tc>
          <w:tcPr>
            <w:tcW w:w="1889" w:type="dxa"/>
          </w:tcPr>
          <w:p w:rsidR="0059596F" w:rsidRDefault="008666D9">
            <w:r>
              <w:t xml:space="preserve">7-11 </w:t>
            </w:r>
          </w:p>
        </w:tc>
        <w:tc>
          <w:tcPr>
            <w:tcW w:w="1701" w:type="dxa"/>
            <w:tcBorders>
              <w:right w:val="nil"/>
            </w:tcBorders>
          </w:tcPr>
          <w:p w:rsidR="0059596F" w:rsidRDefault="008666D9">
            <w:r>
              <w:t>Мирзаметов П.К.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9596F" w:rsidRDefault="008666D9">
            <w:r>
              <w:t>26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59596F" w:rsidRDefault="008666D9">
            <w:r>
              <w:t>1</w:t>
            </w:r>
          </w:p>
        </w:tc>
      </w:tr>
      <w:tr w:rsidR="008666D9" w:rsidTr="0059596F">
        <w:tc>
          <w:tcPr>
            <w:tcW w:w="445" w:type="dxa"/>
          </w:tcPr>
          <w:p w:rsidR="0059596F" w:rsidRDefault="0059596F">
            <w:r>
              <w:t>2</w:t>
            </w:r>
          </w:p>
        </w:tc>
        <w:tc>
          <w:tcPr>
            <w:tcW w:w="1498" w:type="dxa"/>
          </w:tcPr>
          <w:p w:rsidR="0059596F" w:rsidRDefault="008666D9">
            <w:r>
              <w:t>Султанбеков А.К.</w:t>
            </w:r>
          </w:p>
        </w:tc>
        <w:tc>
          <w:tcPr>
            <w:tcW w:w="1839" w:type="dxa"/>
            <w:gridSpan w:val="2"/>
          </w:tcPr>
          <w:p w:rsidR="0059596F" w:rsidRDefault="008666D9">
            <w:r>
              <w:t>высшее</w:t>
            </w:r>
          </w:p>
        </w:tc>
        <w:tc>
          <w:tcPr>
            <w:tcW w:w="1889" w:type="dxa"/>
          </w:tcPr>
          <w:p w:rsidR="0059596F" w:rsidRDefault="008666D9">
            <w:r>
              <w:t>9-11</w:t>
            </w:r>
          </w:p>
        </w:tc>
        <w:tc>
          <w:tcPr>
            <w:tcW w:w="1701" w:type="dxa"/>
            <w:tcBorders>
              <w:right w:val="nil"/>
            </w:tcBorders>
          </w:tcPr>
          <w:p w:rsidR="0059596F" w:rsidRDefault="008666D9">
            <w:r>
              <w:t>Султанбеков М.С.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59596F" w:rsidRDefault="008666D9">
            <w:r>
              <w:t>42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</w:tcPr>
          <w:p w:rsidR="0059596F" w:rsidRDefault="008666D9">
            <w:r>
              <w:t>соответствие</w:t>
            </w:r>
          </w:p>
        </w:tc>
      </w:tr>
    </w:tbl>
    <w:p w:rsidR="0059596F" w:rsidRDefault="0059596F"/>
    <w:sectPr w:rsidR="0059596F" w:rsidSect="0065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1C"/>
    <w:rsid w:val="00033A04"/>
    <w:rsid w:val="000C4544"/>
    <w:rsid w:val="00137481"/>
    <w:rsid w:val="001F2FFF"/>
    <w:rsid w:val="0039480D"/>
    <w:rsid w:val="00561F99"/>
    <w:rsid w:val="0059596F"/>
    <w:rsid w:val="006539B0"/>
    <w:rsid w:val="008666D9"/>
    <w:rsid w:val="009F6122"/>
    <w:rsid w:val="00A058DC"/>
    <w:rsid w:val="00A14ED8"/>
    <w:rsid w:val="00AB31D8"/>
    <w:rsid w:val="00E85541"/>
    <w:rsid w:val="00F1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5BF9"/>
  <w15:docId w15:val="{FEFD7B49-6949-41A3-8DE7-AD26ACE1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B0"/>
  </w:style>
  <w:style w:type="paragraph" w:styleId="1">
    <w:name w:val="heading 1"/>
    <w:basedOn w:val="a"/>
    <w:link w:val="10"/>
    <w:uiPriority w:val="9"/>
    <w:qFormat/>
    <w:rsid w:val="00F17D1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D1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7D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17D1C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D1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396">
              <w:marLeft w:val="0"/>
              <w:marRight w:val="0"/>
              <w:marTop w:val="0"/>
              <w:marBottom w:val="0"/>
              <w:divBdr>
                <w:top w:val="single" w:sz="4" w:space="12" w:color="C0C0C0"/>
                <w:left w:val="single" w:sz="4" w:space="31" w:color="C0C0C0"/>
                <w:bottom w:val="single" w:sz="4" w:space="12" w:color="C0C0C0"/>
                <w:right w:val="single" w:sz="4" w:space="30" w:color="C0C0C0"/>
              </w:divBdr>
              <w:divsChild>
                <w:div w:id="204721921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55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Admin</cp:lastModifiedBy>
  <cp:revision>9</cp:revision>
  <cp:lastPrinted>2022-09-18T08:50:00Z</cp:lastPrinted>
  <dcterms:created xsi:type="dcterms:W3CDTF">2021-12-23T18:37:00Z</dcterms:created>
  <dcterms:modified xsi:type="dcterms:W3CDTF">2023-03-10T08:31:00Z</dcterms:modified>
</cp:coreProperties>
</file>