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49" w:rsidRPr="009743F2" w:rsidRDefault="005E6549" w:rsidP="005E6549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</w:pPr>
      <w:r w:rsidRPr="009743F2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о наличии средств обучения и воспитания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Средства обучения и воспитания: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 xml:space="preserve">Средство обучения – разнообразнейшие материалы и «орудие» учебного </w:t>
      </w:r>
      <w:proofErr w:type="gramStart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процесса</w:t>
      </w:r>
      <w:proofErr w:type="gramEnd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 xml:space="preserve"> благодаря использованию которых более успешно и</w:t>
      </w:r>
      <w:r w:rsidR="00944AFF" w:rsidRPr="009743F2">
        <w:rPr>
          <w:rFonts w:ascii="Helvetica" w:eastAsia="Times New Roman" w:hAnsi="Helvetica" w:cs="Helvetica"/>
          <w:color w:val="FF0000"/>
          <w:sz w:val="24"/>
          <w:szCs w:val="24"/>
        </w:rPr>
        <w:t xml:space="preserve"> </w:t>
      </w: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 xml:space="preserve"> за рационально сокращенное время достигнуть поставленной цели обучения.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 xml:space="preserve">Под средством обучения понимают: материальный или идеальный объект, который используется учителем и учащимися для усвоения знаний (П. И. </w:t>
      </w:r>
      <w:proofErr w:type="spellStart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Пидкасистый</w:t>
      </w:r>
      <w:proofErr w:type="spellEnd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).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Главное дидактическое назначение средств обучения – ускорить процесс усвоения учебного материала, т.е. приблизить учебный процесс к наиболее эффективным характеристикам.</w:t>
      </w:r>
    </w:p>
    <w:p w:rsidR="005E6549" w:rsidRPr="00A861D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4F81BD" w:themeColor="accent1"/>
          <w:sz w:val="20"/>
          <w:szCs w:val="20"/>
        </w:rPr>
      </w:pPr>
      <w:r w:rsidRPr="00A861D2">
        <w:rPr>
          <w:rFonts w:ascii="Helvetica" w:eastAsia="Times New Roman" w:hAnsi="Helvetica" w:cs="Helvetica"/>
          <w:b/>
          <w:bCs/>
          <w:color w:val="4F81BD" w:themeColor="accent1"/>
          <w:sz w:val="24"/>
          <w:szCs w:val="24"/>
        </w:rPr>
        <w:t>Выделяют 2 группы средств обучения: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а) средства, как источник информации;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б) средства, как инструмент усвоения учебного материала.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 xml:space="preserve">Все средства обучения делятся </w:t>
      </w:r>
      <w:proofErr w:type="gramStart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на</w:t>
      </w:r>
      <w:proofErr w:type="gramEnd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 </w:t>
      </w:r>
      <w:r w:rsidRPr="009743F2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>материальные и идеальные</w:t>
      </w: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.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>К материальным средствам</w:t>
      </w: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 относятся учебники, учебные пособия, дидактический материал, тестовый материал, средство наглядности, ТСО (технические средства обучения), лабораторное оборудование.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>В качестве идеальных средств</w:t>
      </w: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 выступают общепринятые системы знаковых языков (речь), письмо (письменная речь), системы условных обозначений различных наук, средства наглядности, учебные компьютерные программы, методы и формы организации учебной деятельности и системы требований к обучению.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Обучение становится эффективным в том случае, если материальные и идеальные средства обучения взаимосвязаны и дополняют друг друга.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Идеальные средства обучения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Материальные средства обучения</w:t>
      </w:r>
    </w:p>
    <w:p w:rsidR="005E6549" w:rsidRPr="00A861D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1F497D" w:themeColor="text2"/>
          <w:sz w:val="20"/>
          <w:szCs w:val="20"/>
        </w:rPr>
      </w:pPr>
      <w:r w:rsidRPr="00A861D2">
        <w:rPr>
          <w:rFonts w:ascii="Helvetica" w:eastAsia="Times New Roman" w:hAnsi="Helvetica" w:cs="Helvetica"/>
          <w:b/>
          <w:bCs/>
          <w:color w:val="1F497D" w:themeColor="text2"/>
          <w:sz w:val="24"/>
          <w:szCs w:val="24"/>
        </w:rPr>
        <w:t>1 уровень – на уроке: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 xml:space="preserve">Произведения искусства, другие достижения культуры (живопись, музыка, литература), средства наглядности (чертежи, рисунки, схемы), учебные компьютерные программы по теме урока, системы знаков, формы организации учебной деятельности на </w:t>
      </w:r>
      <w:proofErr w:type="spellStart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уроке</w:t>
      </w:r>
      <w:proofErr w:type="gramStart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.О</w:t>
      </w:r>
      <w:proofErr w:type="gramEnd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тдельные</w:t>
      </w:r>
      <w:proofErr w:type="spellEnd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 xml:space="preserve"> тексты из учебника, задания, упражнения и задачи для решения учащимися тестовых материалов, лабораторное оборудование, ТСО.</w:t>
      </w:r>
    </w:p>
    <w:p w:rsidR="005E6549" w:rsidRPr="00A861D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1F497D" w:themeColor="text2"/>
          <w:sz w:val="20"/>
          <w:szCs w:val="20"/>
        </w:rPr>
      </w:pPr>
      <w:r w:rsidRPr="00A861D2">
        <w:rPr>
          <w:rFonts w:ascii="Helvetica" w:eastAsia="Times New Roman" w:hAnsi="Helvetica" w:cs="Helvetica"/>
          <w:b/>
          <w:bCs/>
          <w:color w:val="1F497D" w:themeColor="text2"/>
          <w:sz w:val="24"/>
          <w:szCs w:val="24"/>
        </w:rPr>
        <w:t>2 уровень – учебный предмет: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 xml:space="preserve">Системы условных обозначений различных дисциплин, учебные компьютерные </w:t>
      </w:r>
      <w:proofErr w:type="gramStart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программы</w:t>
      </w:r>
      <w:proofErr w:type="gramEnd"/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 xml:space="preserve"> охватывающие весь курс обучения предмета, развивающая среда для накопления навыков по данному предмету. Учебники и учебные пособия, дидактические материалы, методические разработки (рекомендации по предмету).</w:t>
      </w:r>
    </w:p>
    <w:p w:rsidR="00CB6A75" w:rsidRDefault="00CB6A75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CB6A75" w:rsidRDefault="00CB6A75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5E6549" w:rsidRPr="00A861D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1F497D" w:themeColor="text2"/>
          <w:sz w:val="20"/>
          <w:szCs w:val="20"/>
        </w:rPr>
      </w:pPr>
      <w:r w:rsidRPr="00A861D2">
        <w:rPr>
          <w:rFonts w:ascii="Helvetica" w:eastAsia="Times New Roman" w:hAnsi="Helvetica" w:cs="Helvetica"/>
          <w:b/>
          <w:bCs/>
          <w:color w:val="1F497D" w:themeColor="text2"/>
          <w:sz w:val="24"/>
          <w:szCs w:val="24"/>
        </w:rPr>
        <w:lastRenderedPageBreak/>
        <w:t>3 уровень – весь процесс обучения</w:t>
      </w:r>
      <w:r w:rsidRPr="00A861D2">
        <w:rPr>
          <w:rFonts w:ascii="Helvetica" w:eastAsia="Times New Roman" w:hAnsi="Helvetica" w:cs="Helvetica"/>
          <w:color w:val="1F497D" w:themeColor="text2"/>
          <w:sz w:val="24"/>
          <w:szCs w:val="24"/>
        </w:rPr>
        <w:t>: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Система обучения, методы обучения, система общешкольных требований. Кабинеты для обучения, библиотеки, столовые и буфеты, медицинский кабинет, помещение для администрации и педагогов, раздевалки, подсобные помещения.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9743F2">
        <w:rPr>
          <w:rFonts w:ascii="Helvetica" w:eastAsia="Times New Roman" w:hAnsi="Helvetica" w:cs="Helvetica"/>
          <w:color w:val="FF0000"/>
          <w:sz w:val="24"/>
          <w:szCs w:val="24"/>
        </w:rPr>
        <w:t>Каждый элемент системы средств обучения представляет собой сложную и самостоятельную подсистему.</w:t>
      </w:r>
    </w:p>
    <w:p w:rsidR="005E6549" w:rsidRPr="005E6549" w:rsidRDefault="005E6549" w:rsidP="005E65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E65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5E6549" w:rsidRPr="00A861D2" w:rsidRDefault="005E6549" w:rsidP="005E65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A861D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1. Наличие материально-технической базы и оснащенности образовательного процесса:</w:t>
      </w:r>
    </w:p>
    <w:tbl>
      <w:tblPr>
        <w:tblW w:w="10483" w:type="dxa"/>
        <w:tblCellMar>
          <w:left w:w="0" w:type="dxa"/>
          <w:right w:w="0" w:type="dxa"/>
        </w:tblCellMar>
        <w:tblLook w:val="04A0"/>
      </w:tblPr>
      <w:tblGrid>
        <w:gridCol w:w="466"/>
        <w:gridCol w:w="1431"/>
        <w:gridCol w:w="848"/>
        <w:gridCol w:w="828"/>
        <w:gridCol w:w="1038"/>
        <w:gridCol w:w="1516"/>
        <w:gridCol w:w="1589"/>
        <w:gridCol w:w="1420"/>
        <w:gridCol w:w="1347"/>
      </w:tblGrid>
      <w:tr w:rsidR="005E6549" w:rsidRPr="005E6549" w:rsidTr="00CB6A75">
        <w:tc>
          <w:tcPr>
            <w:tcW w:w="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п</w:t>
            </w:r>
            <w:proofErr w:type="spellEnd"/>
            <w:proofErr w:type="gramEnd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/</w:t>
            </w:r>
            <w:proofErr w:type="spellStart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Кабинеты, спортзалы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Необхо-димое</w:t>
            </w:r>
            <w:proofErr w:type="spellEnd"/>
            <w:proofErr w:type="gramEnd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кол-во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Факт.</w:t>
            </w:r>
          </w:p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имеется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Оснащены в %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Соответствие </w:t>
            </w:r>
            <w:proofErr w:type="spellStart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уч</w:t>
            </w:r>
            <w:proofErr w:type="gramStart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.о</w:t>
            </w:r>
            <w:proofErr w:type="gramEnd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борудования</w:t>
            </w:r>
            <w:proofErr w:type="spellEnd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Типовому перечню учебно-наглядных пособий и </w:t>
            </w:r>
            <w:proofErr w:type="spellStart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уч.оборудования</w:t>
            </w:r>
            <w:proofErr w:type="spellEnd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для </w:t>
            </w:r>
            <w:proofErr w:type="spellStart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общеобразоват</w:t>
            </w:r>
            <w:proofErr w:type="spellEnd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школ (2002год) *</w:t>
            </w:r>
          </w:p>
        </w:tc>
        <w:tc>
          <w:tcPr>
            <w:tcW w:w="43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Наличие</w:t>
            </w:r>
          </w:p>
        </w:tc>
      </w:tr>
      <w:tr w:rsidR="005E6549" w:rsidRPr="005E6549" w:rsidTr="00CB6A75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549" w:rsidRPr="009743F2" w:rsidRDefault="005E6549" w:rsidP="005E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549" w:rsidRPr="009743F2" w:rsidRDefault="005E6549" w:rsidP="005E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549" w:rsidRPr="009743F2" w:rsidRDefault="005E6549" w:rsidP="005E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549" w:rsidRPr="009743F2" w:rsidRDefault="005E6549" w:rsidP="005E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549" w:rsidRPr="009743F2" w:rsidRDefault="005E6549" w:rsidP="005E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549" w:rsidRPr="009743F2" w:rsidRDefault="005E6549" w:rsidP="005E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Инструкций по охране труда, их своевременное утверждение и пересмотр согласно Положению о разработке инструкций по охране труда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И состояние ученической мебели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Акта-разрешения на проведение занятий в учебном кабинете, спортзале</w:t>
            </w:r>
          </w:p>
        </w:tc>
      </w:tr>
      <w:tr w:rsidR="005E6549" w:rsidRPr="005E6549" w:rsidTr="00CB6A75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Кабинет физики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944AFF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C77217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CB6A75" w:rsidP="00CB6A7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   100%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C77217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Плохое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имеются</w:t>
            </w:r>
          </w:p>
        </w:tc>
      </w:tr>
      <w:tr w:rsidR="005E6549" w:rsidRPr="005E6549" w:rsidTr="00CB6A75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Кабинет химии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C77217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C77217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Среднее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имеются</w:t>
            </w:r>
          </w:p>
        </w:tc>
      </w:tr>
      <w:tr w:rsidR="005E6549" w:rsidRPr="005E6549" w:rsidTr="00CB6A75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Кабинет биологии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944AFF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C77217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C77217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Среднее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имеются</w:t>
            </w:r>
          </w:p>
        </w:tc>
      </w:tr>
      <w:tr w:rsidR="005E6549" w:rsidRPr="005E6549" w:rsidTr="00CB6A75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Кабинет информатики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944AFF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944AFF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C77217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имеются</w:t>
            </w:r>
          </w:p>
        </w:tc>
      </w:tr>
      <w:tr w:rsidR="00CB6A75" w:rsidRPr="005E6549" w:rsidTr="00CB6A75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Кабинет истории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Среднее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имеются</w:t>
            </w:r>
          </w:p>
        </w:tc>
      </w:tr>
      <w:tr w:rsidR="00CB6A75" w:rsidRPr="005E6549" w:rsidTr="00CB6A75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Спортивный зал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Среднее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имеются</w:t>
            </w:r>
          </w:p>
        </w:tc>
      </w:tr>
      <w:tr w:rsidR="00CB6A75" w:rsidRPr="005E6549" w:rsidTr="00CB6A75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Столовая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Среднее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A75" w:rsidRPr="009743F2" w:rsidRDefault="00CB6A75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имеются</w:t>
            </w:r>
          </w:p>
        </w:tc>
      </w:tr>
    </w:tbl>
    <w:p w:rsidR="00A861D2" w:rsidRDefault="00A861D2" w:rsidP="005E65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5E6549" w:rsidRPr="00A861D2" w:rsidRDefault="005E6549" w:rsidP="005E65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A861D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2. Состояние школьной мебели в классах: </w:t>
      </w:r>
      <w:r w:rsidRPr="00A861D2">
        <w:rPr>
          <w:rFonts w:ascii="Times New Roman" w:eastAsia="Times New Roman" w:hAnsi="Times New Roman" w:cs="Times New Roman"/>
          <w:b/>
          <w:bCs/>
          <w:color w:val="1F497D" w:themeColor="text2"/>
          <w:sz w:val="20"/>
        </w:rPr>
        <w:t xml:space="preserve">мебелью школа обеспечена на </w:t>
      </w:r>
      <w:r w:rsidR="004F56E9" w:rsidRPr="00A861D2">
        <w:rPr>
          <w:rFonts w:ascii="Times New Roman" w:eastAsia="Times New Roman" w:hAnsi="Times New Roman" w:cs="Times New Roman"/>
          <w:b/>
          <w:bCs/>
          <w:color w:val="1F497D" w:themeColor="text2"/>
          <w:sz w:val="20"/>
        </w:rPr>
        <w:t>50%</w:t>
      </w:r>
    </w:p>
    <w:p w:rsidR="005E6549" w:rsidRPr="00A861D2" w:rsidRDefault="005E6549" w:rsidP="005E65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A861D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3. Наличие технических средств обучения:</w:t>
      </w:r>
    </w:p>
    <w:p w:rsidR="005E6549" w:rsidRPr="009743F2" w:rsidRDefault="005E6549" w:rsidP="005E6549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Компьютерные средства обучения:</w:t>
      </w:r>
    </w:p>
    <w:p w:rsidR="005E6549" w:rsidRPr="009743F2" w:rsidRDefault="005E6549" w:rsidP="005E6549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="00A861D2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компьютеров  - 38</w:t>
      </w:r>
    </w:p>
    <w:p w:rsidR="005E6549" w:rsidRPr="009743F2" w:rsidRDefault="005E6549" w:rsidP="005E6549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="00A861D2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ноутбуков -10</w:t>
      </w:r>
    </w:p>
    <w:p w:rsidR="005E6549" w:rsidRPr="009743F2" w:rsidRDefault="005E6549" w:rsidP="005E6549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="00A861D2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принтеров - 5</w:t>
      </w:r>
    </w:p>
    <w:p w:rsidR="005E6549" w:rsidRPr="009743F2" w:rsidRDefault="005E6549" w:rsidP="005E6549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pacing w:val="-4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pacing w:val="-4"/>
          <w:sz w:val="14"/>
          <w:szCs w:val="14"/>
        </w:rPr>
        <w:t> </w:t>
      </w:r>
      <w:r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Технические средства обучения:</w:t>
      </w:r>
    </w:p>
    <w:p w:rsidR="005E6549" w:rsidRPr="009743F2" w:rsidRDefault="005E6549" w:rsidP="005E6549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pacing w:val="-4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pacing w:val="-4"/>
          <w:sz w:val="14"/>
          <w:szCs w:val="14"/>
        </w:rPr>
        <w:t> </w:t>
      </w:r>
      <w:r w:rsidR="00A861D2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интерактивная доска – 2</w:t>
      </w:r>
    </w:p>
    <w:p w:rsidR="005E6549" w:rsidRPr="009743F2" w:rsidRDefault="005E6549" w:rsidP="005E6549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pacing w:val="-4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pacing w:val="-4"/>
          <w:sz w:val="14"/>
          <w:szCs w:val="14"/>
        </w:rPr>
        <w:t> </w:t>
      </w:r>
      <w:r w:rsidR="00A861D2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документ камера – 2</w:t>
      </w:r>
    </w:p>
    <w:p w:rsidR="005E6549" w:rsidRPr="009743F2" w:rsidRDefault="005E6549" w:rsidP="005E6549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pacing w:val="-4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pacing w:val="-4"/>
          <w:sz w:val="14"/>
          <w:szCs w:val="14"/>
        </w:rPr>
        <w:t> </w:t>
      </w:r>
      <w:proofErr w:type="spellStart"/>
      <w:r w:rsidR="00A861D2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мультимедийный</w:t>
      </w:r>
      <w:proofErr w:type="spellEnd"/>
      <w:r w:rsidR="00A861D2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проектор – 2</w:t>
      </w:r>
    </w:p>
    <w:p w:rsidR="005E6549" w:rsidRPr="009743F2" w:rsidRDefault="009743F2" w:rsidP="00A86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</w:t>
      </w: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</w:t>
      </w: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</w:t>
      </w: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</w:t>
      </w:r>
      <w:r w:rsidR="005E6549"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="005E6549"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="005E6549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Спортивный  инвентарь:</w:t>
      </w:r>
    </w:p>
    <w:p w:rsidR="005E6549" w:rsidRPr="009743F2" w:rsidRDefault="005E6549" w:rsidP="005E6549">
      <w:pPr>
        <w:shd w:val="clear" w:color="auto" w:fill="FFFFFF"/>
        <w:spacing w:after="0" w:line="240" w:lineRule="auto"/>
        <w:ind w:left="567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="004F56E9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маты-</w:t>
      </w:r>
    </w:p>
    <w:p w:rsidR="005E6549" w:rsidRPr="009743F2" w:rsidRDefault="005E6549" w:rsidP="005E6549">
      <w:pPr>
        <w:shd w:val="clear" w:color="auto" w:fill="FFFFFF"/>
        <w:spacing w:after="0" w:line="240" w:lineRule="auto"/>
        <w:ind w:left="567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lastRenderedPageBreak/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канат для лазанья – 1</w:t>
      </w:r>
    </w:p>
    <w:p w:rsidR="005E6549" w:rsidRPr="009743F2" w:rsidRDefault="005E6549" w:rsidP="005E6549">
      <w:pPr>
        <w:shd w:val="clear" w:color="auto" w:fill="FFFFFF"/>
        <w:spacing w:after="0" w:line="240" w:lineRule="auto"/>
        <w:ind w:left="567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гранаты- 2</w:t>
      </w:r>
    </w:p>
    <w:p w:rsidR="005E6549" w:rsidRPr="009743F2" w:rsidRDefault="005E6549" w:rsidP="005E6549">
      <w:pPr>
        <w:shd w:val="clear" w:color="auto" w:fill="FFFFFF"/>
        <w:spacing w:after="0" w:line="240" w:lineRule="auto"/>
        <w:ind w:left="567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="004F56E9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козел гимнастический -1</w:t>
      </w:r>
    </w:p>
    <w:p w:rsidR="005E6549" w:rsidRPr="009743F2" w:rsidRDefault="005E6549" w:rsidP="005E6549">
      <w:pPr>
        <w:shd w:val="clear" w:color="auto" w:fill="FFFFFF"/>
        <w:spacing w:after="0" w:line="240" w:lineRule="auto"/>
        <w:ind w:left="567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конь- 1</w:t>
      </w:r>
    </w:p>
    <w:p w:rsidR="005E6549" w:rsidRPr="009743F2" w:rsidRDefault="005E6549" w:rsidP="005E6549">
      <w:pPr>
        <w:shd w:val="clear" w:color="auto" w:fill="FFFFFF"/>
        <w:spacing w:after="0" w:line="240" w:lineRule="auto"/>
        <w:ind w:left="567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="004F56E9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шахматы- 3</w:t>
      </w:r>
    </w:p>
    <w:p w:rsidR="005E6549" w:rsidRPr="009743F2" w:rsidRDefault="005E6549" w:rsidP="005E6549">
      <w:pPr>
        <w:shd w:val="clear" w:color="auto" w:fill="FFFFFF"/>
        <w:spacing w:after="0" w:line="240" w:lineRule="auto"/>
        <w:ind w:left="567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шашки –3</w:t>
      </w:r>
    </w:p>
    <w:p w:rsidR="005E6549" w:rsidRPr="009743F2" w:rsidRDefault="005E6549" w:rsidP="005E6549">
      <w:pPr>
        <w:shd w:val="clear" w:color="auto" w:fill="FFFFFF"/>
        <w:spacing w:after="0" w:line="240" w:lineRule="auto"/>
        <w:ind w:left="567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Symbol" w:eastAsia="Times New Roman" w:hAnsi="Symbol" w:cs="Times New Roman"/>
          <w:color w:val="FF0000"/>
          <w:sz w:val="24"/>
          <w:szCs w:val="24"/>
        </w:rPr>
        <w:t></w:t>
      </w:r>
      <w:r w:rsidRPr="009743F2">
        <w:rPr>
          <w:rFonts w:ascii="Times New Roman" w:eastAsia="Times New Roman" w:hAnsi="Times New Roman" w:cs="Times New Roman"/>
          <w:color w:val="FF0000"/>
          <w:sz w:val="14"/>
          <w:szCs w:val="14"/>
        </w:rPr>
        <w:t> </w:t>
      </w:r>
      <w:r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мячи (футбольные, </w:t>
      </w:r>
      <w:r w:rsidR="004F56E9"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баскетбольные, волейбольные)– 2</w:t>
      </w:r>
    </w:p>
    <w:p w:rsidR="00A861D2" w:rsidRDefault="00A861D2" w:rsidP="005E65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E6549" w:rsidRPr="00A861D2" w:rsidRDefault="005E6549" w:rsidP="005E65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A861D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5. Сведения о книжном фонде библиотеки:</w:t>
      </w:r>
    </w:p>
    <w:tbl>
      <w:tblPr>
        <w:tblW w:w="9690" w:type="dxa"/>
        <w:tblCellMar>
          <w:left w:w="0" w:type="dxa"/>
          <w:right w:w="0" w:type="dxa"/>
        </w:tblCellMar>
        <w:tblLook w:val="04A0"/>
      </w:tblPr>
      <w:tblGrid>
        <w:gridCol w:w="651"/>
        <w:gridCol w:w="3459"/>
        <w:gridCol w:w="1468"/>
        <w:gridCol w:w="1357"/>
        <w:gridCol w:w="1578"/>
        <w:gridCol w:w="1177"/>
      </w:tblGrid>
      <w:tr w:rsidR="005E6549" w:rsidRPr="005E6549" w:rsidTr="005E6549">
        <w:trPr>
          <w:trHeight w:val="480"/>
        </w:trPr>
        <w:tc>
          <w:tcPr>
            <w:tcW w:w="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</w:r>
            <w:proofErr w:type="spellStart"/>
            <w:proofErr w:type="gramStart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п</w:t>
            </w:r>
            <w:proofErr w:type="spellEnd"/>
            <w:proofErr w:type="gramEnd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/</w:t>
            </w:r>
            <w:proofErr w:type="spellStart"/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Уровень, ступень образования,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вид образовательной программы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(основная/дополнительная),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направление подготовки,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специальность, профессия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Объем фонда учебной и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учебно-методической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литературы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Количество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экземпляров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литературы на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одного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обучающегося,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воспитанника</w:t>
            </w: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Доля изданий,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изданных за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последние 10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лет, от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общего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количества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экземпляров</w:t>
            </w:r>
          </w:p>
        </w:tc>
      </w:tr>
      <w:tr w:rsidR="005E6549" w:rsidRPr="005E6549" w:rsidTr="005E6549">
        <w:trPr>
          <w:trHeight w:val="7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549" w:rsidRPr="009743F2" w:rsidRDefault="005E6549" w:rsidP="005E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549" w:rsidRPr="009743F2" w:rsidRDefault="005E6549" w:rsidP="005E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количество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наименований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количество </w:t>
            </w: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br/>
              <w:t>экземпляров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549" w:rsidRPr="009743F2" w:rsidRDefault="005E6549" w:rsidP="005E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549" w:rsidRPr="009743F2" w:rsidRDefault="005E6549" w:rsidP="005E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6549" w:rsidRPr="005E6549" w:rsidTr="005E6549">
        <w:trPr>
          <w:trHeight w:val="24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</w:tr>
      <w:tr w:rsidR="005E6549" w:rsidRPr="005E6549" w:rsidTr="005E6549">
        <w:trPr>
          <w:trHeight w:val="6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</w:rPr>
              <w:t>Начальное общее образование</w:t>
            </w:r>
          </w:p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</w:rPr>
              <w:t>(основная)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4F56E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95%</w:t>
            </w:r>
          </w:p>
        </w:tc>
      </w:tr>
      <w:tr w:rsidR="005E6549" w:rsidRPr="005E6549" w:rsidTr="005E6549">
        <w:trPr>
          <w:trHeight w:val="6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</w:rPr>
              <w:t>Основное общее образование</w:t>
            </w:r>
          </w:p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</w:rPr>
              <w:t>(основная)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4F56E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70%</w:t>
            </w:r>
          </w:p>
        </w:tc>
      </w:tr>
      <w:tr w:rsidR="005E6549" w:rsidRPr="005E6549" w:rsidTr="005E6549">
        <w:trPr>
          <w:trHeight w:val="6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</w:rPr>
              <w:t>Среднее (полное) общее образование</w:t>
            </w:r>
          </w:p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</w:rPr>
              <w:t>(основная)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5E6549" w:rsidP="005E654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6549" w:rsidRPr="009743F2" w:rsidRDefault="004F56E9" w:rsidP="005E654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43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70%</w:t>
            </w:r>
          </w:p>
        </w:tc>
      </w:tr>
    </w:tbl>
    <w:p w:rsidR="00A861D2" w:rsidRDefault="00A861D2" w:rsidP="005E65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5E6549" w:rsidRPr="00A861D2" w:rsidRDefault="005E6549" w:rsidP="005E65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A861D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6. Техническое состояние открытых спортивных площадок, спортоборудования и инвентаря.</w:t>
      </w:r>
    </w:p>
    <w:p w:rsidR="005E6549" w:rsidRPr="009743F2" w:rsidRDefault="005E6549" w:rsidP="005E65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3F2">
        <w:rPr>
          <w:rFonts w:ascii="Times New Roman" w:eastAsia="Times New Roman" w:hAnsi="Times New Roman" w:cs="Times New Roman"/>
          <w:color w:val="FF0000"/>
          <w:sz w:val="24"/>
          <w:szCs w:val="24"/>
        </w:rPr>
        <w:t>Удовлетворительное.</w:t>
      </w:r>
    </w:p>
    <w:p w:rsidR="005E6549" w:rsidRPr="005E6549" w:rsidRDefault="005E6549" w:rsidP="005E65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65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E6549" w:rsidRPr="005E6549" w:rsidRDefault="005E6549">
      <w:pPr>
        <w:rPr>
          <w:b/>
          <w:i/>
          <w:sz w:val="24"/>
          <w:szCs w:val="24"/>
        </w:rPr>
      </w:pPr>
    </w:p>
    <w:sectPr w:rsidR="005E6549" w:rsidRPr="005E6549" w:rsidSect="009B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549"/>
    <w:rsid w:val="0004273A"/>
    <w:rsid w:val="004F56E9"/>
    <w:rsid w:val="005D3359"/>
    <w:rsid w:val="005E6549"/>
    <w:rsid w:val="00944AFF"/>
    <w:rsid w:val="009743F2"/>
    <w:rsid w:val="009B7AAE"/>
    <w:rsid w:val="00A861D2"/>
    <w:rsid w:val="00C77217"/>
    <w:rsid w:val="00CB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AE"/>
  </w:style>
  <w:style w:type="paragraph" w:styleId="2">
    <w:name w:val="heading 2"/>
    <w:basedOn w:val="a"/>
    <w:link w:val="20"/>
    <w:uiPriority w:val="9"/>
    <w:qFormat/>
    <w:rsid w:val="005E6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654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E65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5E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uiPriority w:val="1"/>
    <w:qFormat/>
    <w:rsid w:val="005E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570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1286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445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  <w:divsChild>
                <w:div w:id="1520923141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muslimin</dc:creator>
  <cp:lastModifiedBy>луткун</cp:lastModifiedBy>
  <cp:revision>4</cp:revision>
  <dcterms:created xsi:type="dcterms:W3CDTF">2017-12-07T16:45:00Z</dcterms:created>
  <dcterms:modified xsi:type="dcterms:W3CDTF">2019-01-29T09:37:00Z</dcterms:modified>
</cp:coreProperties>
</file>